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26-258</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WORKFORCE DEVELOPMENT DEPARTMENT[871]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871—Chapter 70</w:t>
      </w:r>
    </w:p>
    <w:p>
      <w:pPr>
        <w:spacing w:before="0" w:after="0" w:line="480"/>
        <w:ind w:left="120"/>
        <w:jc w:val="center"/>
      </w:pPr>
      <w:r>
        <w:rPr>
          <w:rFonts w:ascii="Times New Roman" w:hAnsi="Times New Roman"/>
          <w:b w:val="false"/>
          <w:i w:val="false"/>
          <w:color w:val="000000"/>
          <w:sz w:val="24"/>
        </w:rPr>
        <w:t>“Career Training Physical Expansion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and 84J as enacted by 2026 Iowa Acts, Senate File 2168</w:t>
      </w:r>
    </w:p>
    <w:p>
      <w:pPr>
        <w:spacing w:before="0" w:after="0" w:line="480"/>
        <w:ind w:left="120"/>
        <w:jc w:val="both"/>
      </w:pPr>
      <w:r>
        <w:rPr>
          <w:rFonts w:ascii="Times New Roman" w:hAnsi="Times New Roman"/>
          <w:b w:val="false"/>
          <w:i w:val="false"/>
          <w:color w:val="000000"/>
          <w:sz w:val="24"/>
        </w:rPr>
        <w:t>State or federal law(s) implemented by the rulemaking: Iowa Code chapter 17A and chapter 84J as enacted by 2026 Iowa Acts, Senate File 2168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 meeting</w:t>
              </w:r>
            </w:hyperlink>
            <w:r>
              <w:br/>
            </w:r>
            <w:r>
              <w:rPr>
                <w:rFonts w:ascii="Times New Roman" w:hAnsi="Times New Roman"/>
                <w:b w:val="false"/>
                <w:i w:val="false"/>
                <w:color w:val="000000"/>
                <w:sz w:val="14"/>
              </w:rPr>
              <w:t xml:space="preserve"> Meeting ID: 284 533 348 638 91 </w:t>
            </w:r>
            <w:r>
              <w:br/>
            </w:r>
            <w:r>
              <w:rPr>
                <w:rFonts w:ascii="Times New Roman" w:hAnsi="Times New Roman"/>
                <w:b w:val="false"/>
                <w:i w:val="false"/>
                <w:color w:val="000000"/>
                <w:sz w:val="14"/>
              </w:rPr>
              <w:t xml:space="preserve"> Passcode: 2RB3UK7m </w:t>
            </w:r>
            <w:r>
              <w:br/>
            </w:r>
            <w:r>
              <w:rPr>
                <w:rFonts w:ascii="Times New Roman" w:hAnsi="Times New Roman"/>
                <w:b w:val="false"/>
                <w:i w:val="false"/>
                <w:color w:val="000000"/>
                <w:sz w:val="14"/>
              </w:rPr>
              <w:t xml:space="preserve"> Dial in by phone: +1 469.998.6043 </w:t>
            </w:r>
            <w:r>
              <w:br/>
            </w:r>
            <w:r>
              <w:rPr>
                <w:rFonts w:ascii="Times New Roman" w:hAnsi="Times New Roman"/>
                <w:b w:val="false"/>
                <w:i w:val="false"/>
                <w:color w:val="000000"/>
                <w:sz w:val="14"/>
              </w:rPr>
              <w:t>Phone conference ID: 315 044 839</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Workforce Development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Brooke Axiotis</w:t>
            </w:r>
            <w:r>
              <w:br/>
            </w:r>
            <w:r>
              <w:rPr>
                <w:rFonts w:ascii="Times New Roman" w:hAnsi="Times New Roman"/>
                <w:b w:val="false"/>
                <w:i w:val="false"/>
                <w:color w:val="000000"/>
                <w:sz w:val="14"/>
              </w:rPr>
              <w:t xml:space="preserve">Iowa Workforce Development </w:t>
            </w:r>
            <w:r>
              <w:br/>
            </w:r>
            <w:r>
              <w:rPr>
                <w:rFonts w:ascii="Times New Roman" w:hAnsi="Times New Roman"/>
                <w:b w:val="false"/>
                <w:i w:val="false"/>
                <w:color w:val="000000"/>
                <w:sz w:val="14"/>
              </w:rPr>
              <w:t xml:space="preserve">1000 East Grand Avenue </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515.802.9245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brooke.axiotis@iwd.iowa.gov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purpose of this proposed rulemaking is to establish rules to administer the Career Training and Physical Expansion Program Fund created in Iowa Code section 84J.3 as enacted by 2026 Iowa Acts, Senate File 2168.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general public and stakeholders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and stakeholders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none because funding for this program is provided via previously appropriated funds that have been repurposed.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 xml:space="preserve"> There are none.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 The Department is asking for 2.0 percent of available funds for administration of the grant. The total SFY 2027 appropriation is $3.5 million; administration funds of 2.0 percent equals $70,000.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 Not applicable.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 Not applicable.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 Not applicable.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 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This rulemaking does not have a substantial impact on small business.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871—Chapter 70</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70</w:t>
      </w:r>
    </w:p>
    <w:p>
      <w:pPr>
        <w:spacing w:before="0" w:after="0" w:line="480"/>
        <w:ind w:left="120"/>
        <w:jc w:val="center"/>
      </w:pPr>
      <w:r>
        <w:rPr>
          <w:rFonts w:ascii="Times New Roman" w:hAnsi="Times New Roman"/>
          <w:b w:val="false"/>
          <w:i w:val="false"/>
          <w:color w:val="000000"/>
          <w:sz w:val="21"/>
        </w:rPr>
        <w:t>CAREER TRAINING PHYSICAL EXPANSION PROGRAM</w:t>
      </w:r>
    </w:p>
    <w:p>
      <w:pPr>
        <w:spacing w:before="210" w:after="0" w:line="480"/>
        <w:ind w:left="120"/>
        <w:jc w:val="both"/>
      </w:pPr>
      <w:r>
        <w:rPr>
          <w:rFonts w:ascii="Times New Roman" w:hAnsi="Times New Roman"/>
          <w:b/>
          <w:i w:val="false"/>
          <w:color w:val="000000"/>
          <w:sz w:val="24"/>
        </w:rPr>
        <w:t>871—70.1</w:t>
      </w:r>
      <w:r>
        <w:rPr>
          <w:rFonts w:ascii="Times New Roman" w:hAnsi="Times New Roman"/>
          <w:b/>
          <w:i w:val="false"/>
          <w:color w:val="000000"/>
          <w:sz w:val="24"/>
        </w:rPr>
        <w:t xml:space="preserve">(84J)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the career training physical expansion program is to provide financial assistance for construction of new facilities and procurement of equipment that will expand the capacity of community colleges and unionized and nonunionized private sector apprenticeship programs to provide education and training for workers in high-demand fields in this state.</w:t>
      </w:r>
    </w:p>
    <w:p>
      <w:pPr>
        <w:spacing w:before="0" w:after="0" w:line="480"/>
        <w:ind w:left="120"/>
        <w:jc w:val="both"/>
      </w:pPr>
      <w:r>
        <w:rPr>
          <w:rFonts w:ascii="Times New Roman" w:hAnsi="Times New Roman"/>
          <w:b/>
          <w:i w:val="false"/>
          <w:color w:val="000000"/>
          <w:sz w:val="24"/>
        </w:rPr>
        <w:t>871—70.2</w:t>
      </w:r>
      <w:r>
        <w:rPr>
          <w:rFonts w:ascii="Times New Roman" w:hAnsi="Times New Roman"/>
          <w:b/>
          <w:i w:val="false"/>
          <w:color w:val="000000"/>
          <w:sz w:val="24"/>
        </w:rPr>
        <w:t xml:space="preserve">(84J)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color w:val="000000"/>
          <w:sz w:val="24"/>
          <w:u w:val="single"/>
        </w:rPr>
        <w:t> </w:t>
      </w:r>
      <w:r>
        <w:rPr>
          <w:rFonts w:ascii="Times New Roman" w:hAnsi="Times New Roman"/>
          <w:b w:val="false"/>
          <w:i w:val="false"/>
          <w:color w:val="000000"/>
          <w:sz w:val="24"/>
        </w:rPr>
        <w:t>means an Iowa community college or unionized or nonunionized private sector apprenticeship program applying for assistance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“Apprenticeship”</w:t>
      </w:r>
      <w:r>
        <w:rPr>
          <w:rFonts w:ascii="Times New Roman" w:hAnsi="Times New Roman"/>
          <w:b w:val="false"/>
          <w:i/>
          <w:color w:val="000000"/>
          <w:sz w:val="24"/>
          <w:u w:val="single"/>
        </w:rPr>
        <w:t> </w:t>
      </w:r>
      <w:r>
        <w:rPr>
          <w:rFonts w:ascii="Times New Roman" w:hAnsi="Times New Roman"/>
          <w:b w:val="false"/>
          <w:i w:val="false"/>
          <w:color w:val="000000"/>
          <w:sz w:val="24"/>
        </w:rPr>
        <w:t>means a structured training program that combines supervised paid on-the-job training with classroom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college”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260C.2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“Construction of new facilities”</w:t>
      </w:r>
      <w:r>
        <w:rPr>
          <w:rFonts w:ascii="Times New Roman" w:hAnsi="Times New Roman"/>
          <w:b w:val="false"/>
          <w:i/>
          <w:color w:val="000000"/>
          <w:sz w:val="24"/>
          <w:u w:val="single"/>
        </w:rPr>
        <w:t> </w:t>
      </w:r>
      <w:r>
        <w:rPr>
          <w:rFonts w:ascii="Times New Roman" w:hAnsi="Times New Roman"/>
          <w:b w:val="false"/>
          <w:i w:val="false"/>
          <w:color w:val="000000"/>
          <w:sz w:val="24"/>
        </w:rPr>
        <w:t>means the process of assembling, erecting, or modifying a physical structure for the purpose of expanding capacity to provide education and training for workers in high-demand fields in this state.  Major maintenance of an existing facility does not qualify.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of workforce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“Department’s website”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information and related content found at </w:t>
      </w:r>
      <w:hyperlink r:id="rId7">
        <w:r>
          <w:rPr>
            <w:rStyle w:val="Hyperlink"/>
            <w:rFonts w:ascii="Times New Roman" w:hAnsi="Times New Roman"/>
            <w:b w:val="false"/>
            <w:i w:val="false"/>
            <w:color w:val="000000"/>
            <w:sz w:val="24"/>
            <w:u w:val="single"/>
          </w:rPr>
          <w:t>www.workforce.iowa.gov</w:t>
        </w:r>
      </w:hyperlink>
      <w:r>
        <w:rPr>
          <w:rFonts w:ascii="Times New Roman" w:hAnsi="Times New Roman"/>
          <w:b w:val="false"/>
          <w:i w:val="false"/>
          <w:color w:val="000000"/>
          <w:sz w:val="24"/>
        </w:rPr>
        <w:t xml:space="preserve"> and may include integrated content at affiliate 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entity”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community college or unionized or nonunionized private sector apprenticeship program meeting the requirements of rule </w:t>
      </w:r>
      <w:hyperlink r:id="rId8">
        <w:r>
          <w:rPr>
            <w:rStyle w:val="Hyperlink"/>
            <w:rFonts w:ascii="Times New Roman" w:hAnsi="Times New Roman"/>
            <w:b w:val="false"/>
            <w:i w:val="false"/>
            <w:color w:val="000000"/>
            <w:sz w:val="24"/>
          </w:rPr>
          <w:t>871—70.3</w:t>
        </w:r>
      </w:hyperlink>
      <w:r>
        <w:rPr>
          <w:rFonts w:ascii="Times New Roman" w:hAnsi="Times New Roman"/>
          <w:b w:val="false"/>
          <w:i w:val="false"/>
          <w:color w:val="000000"/>
          <w:sz w:val="24"/>
        </w:rPr>
        <w:t xml:space="preserve">(84J).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“Equipment”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specialized hardware, software, or other tangible, nonexpendable property that has a per unit acquisition cost of $5,000 or more and an anticipated useful life of more than one year and is intended to increase training capacity.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“Expand capacity”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to increase the maximum number of slots available in a training or education program for workers in high-demand fields in this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career training and physical expansion program fund created in Iowa Code section </w:t>
      </w:r>
      <w:hyperlink r:id="rId9">
        <w:r>
          <w:rPr>
            <w:rStyle w:val="Hyperlink"/>
            <w:rFonts w:ascii="Times New Roman" w:hAnsi="Times New Roman"/>
            <w:b w:val="false"/>
            <w:i w:val="false"/>
            <w:color w:val="000000"/>
            <w:sz w:val="24"/>
          </w:rPr>
          <w:t>84J.3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2168</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“High-demand field”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the definitions of “high-demand occupation,” “high-skill occupation,” and “high-wage occupation” created in Iowa Code section </w:t>
      </w:r>
      <w:hyperlink r:id="rId10">
        <w:r>
          <w:rPr>
            <w:rStyle w:val="Hyperlink"/>
            <w:rFonts w:ascii="Times New Roman" w:hAnsi="Times New Roman"/>
            <w:b w:val="false"/>
            <w:i w:val="false"/>
            <w:color w:val="000000"/>
            <w:sz w:val="24"/>
          </w:rPr>
          <w:t>256.125</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2026 Iowa Acts, House File 2610</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“Internet-based education or training”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the definition of “delivered primarily over the internet” in rule </w:t>
      </w:r>
      <w:hyperlink r:id="rId11">
        <w:r>
          <w:rPr>
            <w:rStyle w:val="Hyperlink"/>
            <w:rFonts w:ascii="Times New Roman" w:hAnsi="Times New Roman"/>
            <w:b w:val="false"/>
            <w:i w:val="false"/>
            <w:color w:val="000000"/>
            <w:sz w:val="24"/>
          </w:rPr>
          <w:t>281—15.1(256)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“Nonduplicative training”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that a project funded via this program will avoid recreating current training programs but will modernize the structure and delivery of a training program, education program, or both that will directly result in an increase in the number of workers in high-demand fields in this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sector apprenticeship program”</w:t>
      </w:r>
      <w:r>
        <w:rPr>
          <w:rFonts w:ascii="Times New Roman" w:hAnsi="Times New Roman"/>
          <w:b w:val="false"/>
          <w:i/>
          <w:color w:val="000000"/>
          <w:sz w:val="24"/>
          <w:u w:val="single"/>
        </w:rPr>
        <w:t> </w:t>
      </w:r>
      <w:r>
        <w:rPr>
          <w:rFonts w:ascii="Times New Roman" w:hAnsi="Times New Roman"/>
          <w:b w:val="false"/>
          <w:i w:val="false"/>
          <w:color w:val="000000"/>
          <w:sz w:val="24"/>
        </w:rPr>
        <w:t>means a paid apprenticeship program offered by, or in partnership with, a private company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“Procurement”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rule </w:t>
      </w:r>
      <w:hyperlink r:id="rId12">
        <w:r>
          <w:rPr>
            <w:rStyle w:val="Hyperlink"/>
            <w:rFonts w:ascii="Times New Roman" w:hAnsi="Times New Roman"/>
            <w:b w:val="false"/>
            <w:i w:val="false"/>
            <w:color w:val="000000"/>
            <w:sz w:val="24"/>
          </w:rPr>
          <w:t>11—117.2</w:t>
        </w:r>
      </w:hyperlink>
      <w:r>
        <w:rPr>
          <w:rFonts w:ascii="Times New Roman" w:hAnsi="Times New Roman"/>
          <w:b w:val="false"/>
          <w:i w:val="false"/>
          <w:color w:val="000000"/>
          <w:sz w:val="24"/>
        </w:rPr>
        <w:t>(8A).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means the career training physical expansion program established in this chapter.</w:t>
      </w:r>
    </w:p>
    <w:p>
      <w:pPr>
        <w:spacing w:before="0" w:after="0" w:line="480"/>
        <w:ind w:left="120"/>
        <w:jc w:val="both"/>
      </w:pPr>
      <w:r>
        <w:rPr>
          <w:rFonts w:ascii="Times New Roman" w:hAnsi="Times New Roman"/>
          <w:b/>
          <w:i w:val="false"/>
          <w:color w:val="000000"/>
          <w:sz w:val="24"/>
        </w:rPr>
        <w:t>871—70.3</w:t>
      </w:r>
      <w:r>
        <w:rPr>
          <w:rFonts w:ascii="Times New Roman" w:hAnsi="Times New Roman"/>
          <w:b/>
          <w:i w:val="false"/>
          <w:color w:val="000000"/>
          <w:sz w:val="24"/>
        </w:rPr>
        <w:t xml:space="preserve">(84J) </w:t>
      </w:r>
      <w:r>
        <w:rPr>
          <w:rFonts w:ascii="Times New Roman" w:hAnsi="Times New Roman"/>
          <w:b/>
          <w:i w:val="false"/>
          <w:color w:val="000000"/>
          <w:sz w:val="24"/>
        </w:rPr>
        <w:t xml:space="preserve">Program eligibility. </w:t>
      </w:r>
      <w:r>
        <w:rPr>
          <w:rFonts w:ascii="Times New Roman" w:hAnsi="Times New Roman"/>
          <w:b w:val="false"/>
          <w:i w:val="false"/>
          <w:color w:val="000000"/>
          <w:sz w:val="24"/>
        </w:rPr>
        <w:t xml:space="preserve">To be eligible for financial assistance under the program, an applicant must propose the construction of a new training facility, construction to expand an existing training facility in accordance with the definition of “construction of new facilities” in rule </w:t>
      </w:r>
      <w:hyperlink r:id="rId13">
        <w:r>
          <w:rPr>
            <w:rStyle w:val="Hyperlink"/>
            <w:rFonts w:ascii="Times New Roman" w:hAnsi="Times New Roman"/>
            <w:b w:val="false"/>
            <w:i w:val="false"/>
            <w:color w:val="000000"/>
            <w:sz w:val="24"/>
          </w:rPr>
          <w:t>871—70.2</w:t>
        </w:r>
      </w:hyperlink>
      <w:r>
        <w:rPr>
          <w:rFonts w:ascii="Times New Roman" w:hAnsi="Times New Roman"/>
          <w:b w:val="false"/>
          <w:i w:val="false"/>
          <w:color w:val="000000"/>
          <w:sz w:val="24"/>
        </w:rPr>
        <w:t>(84J), or the procurement of equipment that will expand the capacity to educate and train workers in high-demand fields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70.3(1)</w:t>
      </w:r>
      <w:r>
        <w:rPr>
          <w:rFonts w:ascii="Times New Roman" w:hAnsi="Times New Roman"/>
          <w:b w:val="false"/>
          <w:i w:val="false"/>
          <w:color w:val="000000"/>
          <w:sz w:val="24"/>
        </w:rPr>
        <w:t> </w:t>
      </w:r>
      <w:r>
        <w:rPr>
          <w:rFonts w:ascii="Times New Roman" w:hAnsi="Times New Roman"/>
          <w:b w:val="false"/>
          <w:i/>
          <w:color w:val="000000"/>
          <w:sz w:val="24"/>
        </w:rPr>
        <w:t xml:space="preserve">Employer demand. </w:t>
      </w:r>
      <w:r>
        <w:rPr>
          <w:rFonts w:ascii="Times New Roman" w:hAnsi="Times New Roman"/>
          <w:b w:val="false"/>
          <w:i w:val="false"/>
          <w:color w:val="000000"/>
          <w:sz w:val="24"/>
        </w:rPr>
        <w:t>Applicants must provide evidence of employer demand for the skills and abilities to be taught via the training and education or apprenticeship program for which an applicant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70.3(2)</w:t>
      </w:r>
      <w:r>
        <w:rPr>
          <w:rFonts w:ascii="Times New Roman" w:hAnsi="Times New Roman"/>
          <w:b w:val="false"/>
          <w:i w:val="false"/>
          <w:color w:val="000000"/>
          <w:sz w:val="24"/>
        </w:rPr>
        <w:t> </w:t>
      </w:r>
      <w:r>
        <w:rPr>
          <w:rFonts w:ascii="Times New Roman" w:hAnsi="Times New Roman"/>
          <w:b w:val="false"/>
          <w:i/>
          <w:color w:val="000000"/>
          <w:sz w:val="24"/>
        </w:rPr>
        <w:t xml:space="preserve">Expand capacity. </w:t>
      </w:r>
      <w:r>
        <w:rPr>
          <w:rFonts w:ascii="Times New Roman" w:hAnsi="Times New Roman"/>
          <w:b w:val="false"/>
          <w:i w:val="false"/>
          <w:color w:val="000000"/>
          <w:sz w:val="24"/>
        </w:rPr>
        <w:t>The project must directly result in an increase in the number of workers in high-demand fields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70.3(3)</w:t>
      </w:r>
      <w:r>
        <w:rPr>
          <w:rFonts w:ascii="Times New Roman" w:hAnsi="Times New Roman"/>
          <w:b w:val="false"/>
          <w:i w:val="false"/>
          <w:color w:val="000000"/>
          <w:sz w:val="24"/>
        </w:rPr>
        <w:t> </w:t>
      </w:r>
      <w:r>
        <w:rPr>
          <w:rFonts w:ascii="Times New Roman" w:hAnsi="Times New Roman"/>
          <w:b w:val="false"/>
          <w:i/>
          <w:color w:val="000000"/>
          <w:sz w:val="24"/>
        </w:rPr>
        <w:t xml:space="preserve">Internet-based education or training. </w:t>
      </w:r>
      <w:r>
        <w:rPr>
          <w:rFonts w:ascii="Times New Roman" w:hAnsi="Times New Roman"/>
          <w:b w:val="false"/>
          <w:i w:val="false"/>
          <w:color w:val="000000"/>
          <w:sz w:val="24"/>
        </w:rPr>
        <w:t>Projects to increase internet-based education or training are ineligible for financial assistance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70.3(4)</w:t>
      </w:r>
      <w:r>
        <w:rPr>
          <w:rFonts w:ascii="Times New Roman" w:hAnsi="Times New Roman"/>
          <w:b w:val="false"/>
          <w:i w:val="false"/>
          <w:color w:val="000000"/>
          <w:sz w:val="24"/>
        </w:rPr>
        <w:t> </w:t>
      </w:r>
      <w:r>
        <w:rPr>
          <w:rFonts w:ascii="Times New Roman" w:hAnsi="Times New Roman"/>
          <w:b w:val="false"/>
          <w:i/>
          <w:color w:val="000000"/>
          <w:sz w:val="24"/>
        </w:rPr>
        <w:t xml:space="preserve">Priority given for nonduplicative training. </w:t>
      </w:r>
      <w:r>
        <w:rPr>
          <w:rFonts w:ascii="Times New Roman" w:hAnsi="Times New Roman"/>
          <w:b w:val="false"/>
          <w:i w:val="false"/>
          <w:color w:val="000000"/>
          <w:sz w:val="24"/>
        </w:rPr>
        <w:t xml:space="preserve">Priority will be given to projects that meet the definition of “nonduplicative training” in rule </w:t>
      </w:r>
      <w:hyperlink r:id="rId14">
        <w:r>
          <w:rPr>
            <w:rStyle w:val="Hyperlink"/>
            <w:rFonts w:ascii="Times New Roman" w:hAnsi="Times New Roman"/>
            <w:b w:val="false"/>
            <w:i w:val="false"/>
            <w:color w:val="000000"/>
            <w:sz w:val="24"/>
          </w:rPr>
          <w:t>871—70.2</w:t>
        </w:r>
      </w:hyperlink>
      <w:r>
        <w:rPr>
          <w:rFonts w:ascii="Times New Roman" w:hAnsi="Times New Roman"/>
          <w:b w:val="false"/>
          <w:i w:val="false"/>
          <w:color w:val="000000"/>
          <w:sz w:val="24"/>
        </w:rPr>
        <w:t>(84J).</w:t>
      </w:r>
    </w:p>
    <w:p>
      <w:pPr>
        <w:spacing w:before="0" w:after="0" w:line="480"/>
        <w:ind w:left="120"/>
        <w:jc w:val="both"/>
      </w:pPr>
      <w:r>
        <w:rPr>
          <w:rFonts w:ascii="Times New Roman" w:hAnsi="Times New Roman"/>
          <w:b/>
          <w:i w:val="false"/>
          <w:color w:val="000000"/>
          <w:sz w:val="24"/>
        </w:rPr>
        <w:t>871—70.4</w:t>
      </w:r>
      <w:r>
        <w:rPr>
          <w:rFonts w:ascii="Times New Roman" w:hAnsi="Times New Roman"/>
          <w:b/>
          <w:i w:val="false"/>
          <w:color w:val="000000"/>
          <w:sz w:val="24"/>
        </w:rPr>
        <w:t xml:space="preserve">(84J) </w:t>
      </w:r>
      <w:r>
        <w:rPr>
          <w:rFonts w:ascii="Times New Roman" w:hAnsi="Times New Roman"/>
          <w:b/>
          <w:i w:val="false"/>
          <w:color w:val="000000"/>
          <w:sz w:val="24"/>
        </w:rPr>
        <w:t xml:space="preserve">Application submission and review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70.4(1)</w:t>
      </w:r>
      <w:r>
        <w:rPr>
          <w:rFonts w:ascii="Times New Roman" w:hAnsi="Times New Roman"/>
          <w:b w:val="false"/>
          <w:i w:val="false"/>
          <w:color w:val="000000"/>
          <w:sz w:val="24"/>
        </w:rPr>
        <w:t> </w:t>
      </w:r>
      <w:r>
        <w:rPr>
          <w:rFonts w:ascii="Times New Roman" w:hAnsi="Times New Roman"/>
          <w:b w:val="false"/>
          <w:i w:val="false"/>
          <w:color w:val="000000"/>
          <w:sz w:val="24"/>
        </w:rPr>
        <w:t>The department will develop a standardized application process and make information on applying available on the department’s website. To apply for assistance under the program, an applicant shall submit an application to the department in the manner prescribed by the department. The department will identify specific types of investments for which it intends to provide financial assistance on the application form or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70.4(2)</w:t>
      </w:r>
      <w:r>
        <w:rPr>
          <w:rFonts w:ascii="Times New Roman" w:hAnsi="Times New Roman"/>
          <w:b w:val="false"/>
          <w:i w:val="false"/>
          <w:color w:val="000000"/>
          <w:sz w:val="24"/>
        </w:rPr>
        <w:t> </w:t>
      </w:r>
      <w:r>
        <w:rPr>
          <w:rFonts w:ascii="Times New Roman" w:hAnsi="Times New Roman"/>
          <w:b w:val="false"/>
          <w:i w:val="false"/>
          <w:color w:val="000000"/>
          <w:sz w:val="24"/>
        </w:rPr>
        <w:t>Applications will be accepted and processed by department staff on a continuing basis, or the department may establish application periods as announced on the department’s website. If received on a continuing basis, applications will be reviewed in the order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70.4(3)</w:t>
      </w:r>
      <w:r>
        <w:rPr>
          <w:rFonts w:ascii="Times New Roman" w:hAnsi="Times New Roman"/>
          <w:b w:val="false"/>
          <w:i w:val="false"/>
          <w:color w:val="000000"/>
          <w:sz w:val="24"/>
        </w:rPr>
        <w:t> </w:t>
      </w:r>
      <w:r>
        <w:rPr>
          <w:rFonts w:ascii="Times New Roman" w:hAnsi="Times New Roman"/>
          <w:b w:val="false"/>
          <w:i w:val="false"/>
          <w:color w:val="000000"/>
          <w:sz w:val="24"/>
        </w:rPr>
        <w:t>The department may refuse to accept incomplete applications or may refuse to accept applications because of insufficient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70.4(4)</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determine the financial assistance award if it determines that financial assistance should be awarded. The department has final decision-making authority on requests for financial assistance for the program. The department will take final action on all applications for financial assistance except those rejected pursuant to subrule </w:t>
      </w:r>
      <w:hyperlink r:id="rId15">
        <w:r>
          <w:rPr>
            <w:rStyle w:val="Hyperlink"/>
            <w:rFonts w:ascii="Times New Roman" w:hAnsi="Times New Roman"/>
            <w:b w:val="false"/>
            <w:i w:val="false"/>
            <w:color w:val="000000"/>
            <w:sz w:val="24"/>
          </w:rPr>
          <w:t>70.4(3)</w:t>
        </w:r>
      </w:hyperlink>
      <w:r>
        <w:rPr>
          <w:rFonts w:ascii="Times New Roman" w:hAnsi="Times New Roman"/>
          <w:b w:val="false"/>
          <w:i w:val="false"/>
          <w:color w:val="000000"/>
          <w:sz w:val="24"/>
        </w:rPr>
        <w:t>. The department may approve an award, decline to award, or choose to reopen the application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70.4(5)</w:t>
      </w:r>
      <w:r>
        <w:rPr>
          <w:rFonts w:ascii="Times New Roman" w:hAnsi="Times New Roman"/>
          <w:b w:val="false"/>
          <w:i w:val="false"/>
          <w:color w:val="000000"/>
          <w:sz w:val="24"/>
        </w:rPr>
        <w:t> </w:t>
      </w:r>
      <w:r>
        <w:rPr>
          <w:rFonts w:ascii="Times New Roman" w:hAnsi="Times New Roman"/>
          <w:b w:val="false"/>
          <w:i w:val="false"/>
          <w:color w:val="000000"/>
          <w:sz w:val="24"/>
        </w:rPr>
        <w:t>An applicant may submit one application per funding cycle for the duration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70.4(6)</w:t>
      </w:r>
      <w:r>
        <w:rPr>
          <w:rFonts w:ascii="Times New Roman" w:hAnsi="Times New Roman"/>
          <w:b w:val="false"/>
          <w:i w:val="false"/>
          <w:color w:val="000000"/>
          <w:sz w:val="24"/>
        </w:rPr>
        <w:t> </w:t>
      </w:r>
      <w:r>
        <w:rPr>
          <w:rFonts w:ascii="Times New Roman" w:hAnsi="Times New Roman"/>
          <w:b w:val="false"/>
          <w:i w:val="false"/>
          <w:color w:val="000000"/>
          <w:sz w:val="24"/>
        </w:rPr>
        <w:t>Applicants will be notified in writing of an award of financial assistance, including any conditions and terms of the award, or of a denial of an award of financial assistance.</w:t>
      </w:r>
    </w:p>
    <w:p>
      <w:pPr>
        <w:spacing w:before="0" w:after="0" w:line="480"/>
        <w:ind w:left="120"/>
        <w:jc w:val="both"/>
      </w:pPr>
      <w:r>
        <w:rPr>
          <w:rFonts w:ascii="Times New Roman" w:hAnsi="Times New Roman"/>
          <w:b/>
          <w:i w:val="false"/>
          <w:color w:val="000000"/>
          <w:sz w:val="24"/>
        </w:rPr>
        <w:t>871—70.5</w:t>
      </w:r>
      <w:r>
        <w:rPr>
          <w:rFonts w:ascii="Times New Roman" w:hAnsi="Times New Roman"/>
          <w:b/>
          <w:i w:val="false"/>
          <w:color w:val="000000"/>
          <w:sz w:val="24"/>
        </w:rPr>
        <w:t xml:space="preserve">(84J) </w:t>
      </w:r>
      <w:r>
        <w:rPr>
          <w:rFonts w:ascii="Times New Roman" w:hAnsi="Times New Roman"/>
          <w:b/>
          <w:i w:val="false"/>
          <w:color w:val="000000"/>
          <w:sz w:val="24"/>
        </w:rPr>
        <w:t xml:space="preserve">Application scoring criteria. </w:t>
      </w:r>
      <w:r>
        <w:rPr>
          <w:rFonts w:ascii="Times New Roman" w:hAnsi="Times New Roman"/>
          <w:b w:val="false"/>
          <w:i w:val="false"/>
          <w:color w:val="000000"/>
          <w:sz w:val="24"/>
        </w:rPr>
        <w:t>When applications for financial assistance under the program are reviewed by department staff, the following criteria will be considered and the application scored as described.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70.5(1)</w:t>
      </w:r>
      <w:r>
        <w:rPr>
          <w:rFonts w:ascii="Times New Roman" w:hAnsi="Times New Roman"/>
          <w:b w:val="false"/>
          <w:i w:val="false"/>
          <w:color w:val="000000"/>
          <w:sz w:val="24"/>
        </w:rPr>
        <w:t> </w:t>
      </w:r>
      <w:r>
        <w:rPr>
          <w:rFonts w:ascii="Times New Roman" w:hAnsi="Times New Roman"/>
          <w:b w:val="false"/>
          <w:i w:val="false"/>
          <w:color w:val="000000"/>
          <w:sz w:val="24"/>
        </w:rPr>
        <w:t xml:space="preserve">The extent to which the applicant’s investment demonstrates employer demand in this state for the training and education to be provided.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70.5(2)</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investment expands the physical capacity of the community college or apprenticeship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70.5(3)</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investment increases the number of workers in high-demand fields in this state. Priority points will be awarded for greater increased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70.5(4)</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applicant demonstrates regional need for increased capacity of trained individuals in the high-demand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70.5(5)</w:t>
      </w:r>
      <w:r>
        <w:rPr>
          <w:rFonts w:ascii="Times New Roman" w:hAnsi="Times New Roman"/>
          <w:b w:val="false"/>
          <w:i w:val="false"/>
          <w:color w:val="000000"/>
          <w:sz w:val="24"/>
        </w:rPr>
        <w:t> </w:t>
      </w:r>
      <w:r>
        <w:rPr>
          <w:rFonts w:ascii="Times New Roman" w:hAnsi="Times New Roman"/>
          <w:b w:val="false"/>
          <w:i w:val="false"/>
          <w:color w:val="000000"/>
          <w:sz w:val="24"/>
        </w:rPr>
        <w:t>Whether and the extent to which the applicant has previously received financial assistance from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70.5(6)</w:t>
      </w:r>
      <w:r>
        <w:rPr>
          <w:rFonts w:ascii="Times New Roman" w:hAnsi="Times New Roman"/>
          <w:b w:val="false"/>
          <w:i w:val="false"/>
          <w:color w:val="000000"/>
          <w:sz w:val="24"/>
        </w:rPr>
        <w:t> </w:t>
      </w:r>
      <w:r>
        <w:rPr>
          <w:rFonts w:ascii="Times New Roman" w:hAnsi="Times New Roman"/>
          <w:b w:val="false"/>
          <w:i w:val="false"/>
          <w:color w:val="000000"/>
          <w:sz w:val="24"/>
        </w:rPr>
        <w:t>For awards under subsequent funding rounds, whether and the extent to which the applicant demonstrates increased training and education completions under previous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70.5(7)</w:t>
      </w:r>
      <w:r>
        <w:rPr>
          <w:rFonts w:ascii="Times New Roman" w:hAnsi="Times New Roman"/>
          <w:b w:val="false"/>
          <w:i w:val="false"/>
          <w:color w:val="000000"/>
          <w:sz w:val="24"/>
        </w:rPr>
        <w:t> </w:t>
      </w:r>
      <w:r>
        <w:rPr>
          <w:rFonts w:ascii="Times New Roman" w:hAnsi="Times New Roman"/>
          <w:b w:val="false"/>
          <w:i w:val="false"/>
          <w:color w:val="000000"/>
          <w:sz w:val="24"/>
        </w:rPr>
        <w:t>The sufficiency of the proposed investment’s financing structure, the feasibility of the sources of funds, and the appropriateness of the proposed uses of the funds.</w:t>
      </w:r>
    </w:p>
    <w:p>
      <w:pPr>
        <w:spacing w:before="0" w:after="0" w:line="480"/>
        <w:ind w:left="120"/>
        <w:jc w:val="both"/>
      </w:pPr>
      <w:r>
        <w:rPr>
          <w:rFonts w:ascii="Times New Roman" w:hAnsi="Times New Roman"/>
          <w:b/>
          <w:i w:val="false"/>
          <w:color w:val="000000"/>
          <w:sz w:val="24"/>
        </w:rPr>
        <w:t>871—70.6</w:t>
      </w:r>
      <w:r>
        <w:rPr>
          <w:rFonts w:ascii="Times New Roman" w:hAnsi="Times New Roman"/>
          <w:b/>
          <w:i w:val="false"/>
          <w:color w:val="000000"/>
          <w:sz w:val="24"/>
        </w:rPr>
        <w:t xml:space="preserve">(84J) </w:t>
      </w:r>
      <w:r>
        <w:rPr>
          <w:rFonts w:ascii="Times New Roman" w:hAnsi="Times New Roman"/>
          <w:b/>
          <w:i w:val="false"/>
          <w:color w:val="000000"/>
          <w:sz w:val="24"/>
        </w:rPr>
        <w:t xml:space="preserve">Contract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70.6(1)</w:t>
      </w:r>
      <w:r>
        <w:rPr>
          <w:rFonts w:ascii="Times New Roman" w:hAnsi="Times New Roman"/>
          <w:b w:val="false"/>
          <w:i w:val="false"/>
          <w:color w:val="000000"/>
          <w:sz w:val="24"/>
        </w:rPr>
        <w:t> </w:t>
      </w:r>
      <w:r>
        <w:rPr>
          <w:rFonts w:ascii="Times New Roman" w:hAnsi="Times New Roman"/>
          <w:b w:val="false"/>
          <w:i w:val="false"/>
          <w:color w:val="000000"/>
          <w:sz w:val="24"/>
        </w:rPr>
        <w:t>The department will prepare a contract for each award approved by the department. The contract will reflect the terms of the award and may include other terms and conditions reasonably necessary for implementation of the program pursuant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70.6(2)</w:t>
      </w:r>
      <w:r>
        <w:rPr>
          <w:rFonts w:ascii="Times New Roman" w:hAnsi="Times New Roman"/>
          <w:b w:val="false"/>
          <w:i w:val="false"/>
          <w:color w:val="000000"/>
          <w:sz w:val="24"/>
        </w:rPr>
        <w:t> </w:t>
      </w:r>
      <w:r>
        <w:rPr>
          <w:rFonts w:ascii="Times New Roman" w:hAnsi="Times New Roman"/>
          <w:b w:val="false"/>
          <w:i w:val="false"/>
          <w:color w:val="000000"/>
          <w:sz w:val="24"/>
        </w:rPr>
        <w:t xml:space="preserve">Any substantive change to a proposed investment shall require an amendment to the contract. Amendments shall be requested in writing. No amendment shall be valid until approved by the department. </w:t>
      </w:r>
    </w:p>
    <w:p>
      <w:pPr>
        <w:spacing w:before="0" w:after="0" w:line="480"/>
        <w:ind w:left="120"/>
        <w:jc w:val="both"/>
      </w:pPr>
      <w:r>
        <w:rPr>
          <w:rFonts w:ascii="Times New Roman" w:hAnsi="Times New Roman"/>
          <w:b/>
          <w:i w:val="false"/>
          <w:color w:val="000000"/>
          <w:sz w:val="24"/>
        </w:rPr>
        <w:t>871—70.7</w:t>
      </w:r>
      <w:r>
        <w:rPr>
          <w:rFonts w:ascii="Times New Roman" w:hAnsi="Times New Roman"/>
          <w:b/>
          <w:i w:val="false"/>
          <w:color w:val="000000"/>
          <w:sz w:val="24"/>
        </w:rPr>
        <w:t xml:space="preserve">(84J) </w:t>
      </w:r>
      <w:r>
        <w:rPr>
          <w:rFonts w:ascii="Times New Roman" w:hAnsi="Times New Roman"/>
          <w:b/>
          <w:i w:val="false"/>
          <w:color w:val="000000"/>
          <w:sz w:val="24"/>
        </w:rPr>
        <w:t xml:space="preserve">Disbursement of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70.7(1)</w:t>
      </w:r>
      <w:r>
        <w:rPr>
          <w:rFonts w:ascii="Times New Roman" w:hAnsi="Times New Roman"/>
          <w:b w:val="false"/>
          <w:i w:val="false"/>
          <w:color w:val="000000"/>
          <w:sz w:val="24"/>
        </w:rPr>
        <w:t> </w:t>
      </w:r>
      <w:r>
        <w:rPr>
          <w:rFonts w:ascii="Times New Roman" w:hAnsi="Times New Roman"/>
          <w:b w:val="false"/>
          <w:i w:val="false"/>
          <w:color w:val="000000"/>
          <w:sz w:val="24"/>
        </w:rPr>
        <w:t>The department will disburse funds for an investment only after a complete application has been received, an award has been approved by the department, a contract has been executed between the applicant and the department, and all applicable conditions for disbursement have been met, including the submission of documentation pertaining to the eligible expenditures. Disbursement of funds under the contract will be on a reimbursement basis for expenses incurred by the applicant after the date of application and as provided under the contract. Expenditures for labor performed by an applicant’s employees are not eligible for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70.7(2)</w:t>
      </w:r>
      <w:r>
        <w:rPr>
          <w:rFonts w:ascii="Times New Roman" w:hAnsi="Times New Roman"/>
          <w:b w:val="false"/>
          <w:i w:val="false"/>
          <w:color w:val="000000"/>
          <w:sz w:val="24"/>
        </w:rPr>
        <w:t> </w:t>
      </w:r>
      <w:r>
        <w:rPr>
          <w:rFonts w:ascii="Times New Roman" w:hAnsi="Times New Roman"/>
          <w:b w:val="false"/>
          <w:i w:val="false"/>
          <w:color w:val="000000"/>
          <w:sz w:val="24"/>
        </w:rPr>
        <w:t>Administrative cost. The department will retain 2.0 percent of each appropriation for administration of this program.</w:t>
      </w:r>
    </w:p>
    <w:p>
      <w:pPr>
        <w:spacing w:before="210" w:after="0" w:line="480"/>
        <w:ind w:left="120"/>
        <w:jc w:val="both"/>
      </w:pPr>
      <w:r>
        <w:rPr>
          <w:rFonts w:ascii="Times New Roman" w:hAnsi="Times New Roman"/>
          <w:b/>
          <w:i w:val="false"/>
          <w:color w:val="000000"/>
          <w:sz w:val="24"/>
        </w:rPr>
        <w:t>871—70.8</w:t>
      </w:r>
      <w:r>
        <w:rPr>
          <w:rFonts w:ascii="Times New Roman" w:hAnsi="Times New Roman"/>
          <w:b/>
          <w:i w:val="false"/>
          <w:color w:val="000000"/>
          <w:sz w:val="24"/>
        </w:rPr>
        <w:t xml:space="preserve">(84J) </w:t>
      </w:r>
      <w:r>
        <w:rPr>
          <w:rFonts w:ascii="Times New Roman" w:hAnsi="Times New Roman"/>
          <w:b/>
          <w:i w:val="false"/>
          <w:color w:val="000000"/>
          <w:sz w:val="24"/>
        </w:rPr>
        <w:t xml:space="preserve">Reporting. </w:t>
      </w:r>
      <w:r>
        <w:rPr>
          <w:rFonts w:ascii="Times New Roman" w:hAnsi="Times New Roman"/>
          <w:b w:val="false"/>
          <w:i w:val="false"/>
          <w:color w:val="000000"/>
          <w:sz w:val="24"/>
        </w:rPr>
        <w:t>An applicant receiving assistance under the program shall submit any information reasonably requested by the department in sufficient detail to permit the department to prepare any reports required by the department, the general assembly, or the governor’s office.</w:t>
      </w:r>
    </w:p>
    <w:p>
      <w:pPr>
        <w:spacing w:before="0" w:after="0" w:line="480"/>
        <w:ind w:left="120"/>
        <w:jc w:val="both"/>
      </w:pPr>
      <w:r>
        <w:rPr>
          <w:rFonts w:ascii="Times New Roman" w:hAnsi="Times New Roman"/>
          <w:b w:val="false"/>
          <w:i w:val="false"/>
          <w:color w:val="000000"/>
          <w:sz w:val="24"/>
        </w:rPr>
        <w:t xml:space="preserve"> These rules are intended to implement Iowa Code chapter </w:t>
      </w:r>
      <w:hyperlink r:id="rId1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chapter </w:t>
      </w:r>
      <w:hyperlink r:id="rId17">
        <w:r>
          <w:rPr>
            <w:rStyle w:val="Hyperlink"/>
            <w:rFonts w:ascii="Times New Roman" w:hAnsi="Times New Roman"/>
            <w:b w:val="false"/>
            <w:i w:val="false"/>
            <w:color w:val="000000"/>
            <w:sz w:val="24"/>
          </w:rPr>
          <w:t>84J</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2168</w:t>
      </w:r>
      <w:r>
        <w:rPr>
          <w:rFonts w:ascii="Times New Roman" w:hAnsi="Times New Roman"/>
          <w:b w:val="false"/>
          <w:i w:val="false"/>
          <w:color w:val="000000"/>
          <w:sz w:val="24"/>
        </w:rPr>
        <w:t>.</w:t>
      </w:r>
    </w:p>
    <w:sectPr>
      <w:footerReference r:id="rId1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8453334863891?p=Yue24BjmEYH6ZCZJp3" Type="http://schemas.openxmlformats.org/officeDocument/2006/relationships/hyperlink" Id="rId4"/>
    <Relationship TargetMode="External" Target="mailto:brooke.axiotis@iwd.iowa.gov" Type="http://schemas.openxmlformats.org/officeDocument/2006/relationships/hyperlink" Id="rId5"/>
    <Relationship TargetMode="External" Target="https://www.legis.iowa.gov/docs/ico/chapter/260C.2.pdf" Type="http://schemas.openxmlformats.org/officeDocument/2006/relationships/hyperlink" Id="rId6"/>
    <Relationship TargetMode="External" Target="http://www.workforce.iowa.gov" Type="http://schemas.openxmlformats.org/officeDocument/2006/relationships/hyperlink" Id="rId7"/>
    <Relationship TargetMode="External" Target="https://www.legis.iowa.gov/docs/iac/rule/871.70.3.pdf" Type="http://schemas.openxmlformats.org/officeDocument/2006/relationships/hyperlink" Id="rId8"/>
    <Relationship TargetMode="External" Target="https://www.legis.iowa.gov/docs/ico/chapter/84J.3.pdf" Type="http://schemas.openxmlformats.org/officeDocument/2006/relationships/hyperlink" Id="rId9"/>
    <Relationship TargetMode="External" Target="https://www.legis.iowa.gov/docs/ico/chapter/256.125.pdf" Type="http://schemas.openxmlformats.org/officeDocument/2006/relationships/hyperlink" Id="rId10"/>
    <Relationship TargetMode="External" Target="https://www.legis.iowa.gov/docs/iac/rule/281.15.1.pdf" Type="http://schemas.openxmlformats.org/officeDocument/2006/relationships/hyperlink" Id="rId11"/>
    <Relationship TargetMode="External" Target="https://www.legis.iowa.gov/docs/iac/rule/11.117.2.pdf" Type="http://schemas.openxmlformats.org/officeDocument/2006/relationships/hyperlink" Id="rId12"/>
    <Relationship TargetMode="External" Target="https://www.legis.iowa.gov/docs/iac/rule/871.70.2.pdf" Type="http://schemas.openxmlformats.org/officeDocument/2006/relationships/hyperlink" Id="rId13"/>
    <Relationship TargetMode="External" Target="https://www.legis.iowa.gov/docs/iac/rule/871.70.2.pdf" Type="http://schemas.openxmlformats.org/officeDocument/2006/relationships/hyperlink" Id="rId14"/>
    <Relationship TargetMode="External" Target="https://www.legis.iowa.gov/docs/iac/rule/871.70.4.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84J.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